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9AF3" w14:textId="770A44E1" w:rsidR="000212F0" w:rsidRPr="000212F0" w:rsidRDefault="00A521F7" w:rsidP="000212F0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Microcystin health risk in irrigation water and agricultural </w:t>
      </w:r>
      <w:r w:rsidR="005739CE">
        <w:rPr>
          <w:b/>
          <w:sz w:val="28"/>
          <w:szCs w:val="28"/>
          <w:lang w:val="en-US"/>
        </w:rPr>
        <w:t>crops</w:t>
      </w:r>
    </w:p>
    <w:p w14:paraId="73B931B9" w14:textId="77777777" w:rsidR="008238B7" w:rsidRPr="003F19E6" w:rsidRDefault="008238B7" w:rsidP="008238B7">
      <w:pPr>
        <w:jc w:val="both"/>
        <w:rPr>
          <w:lang w:val="en-US"/>
        </w:rPr>
      </w:pPr>
    </w:p>
    <w:p w14:paraId="79E6C692" w14:textId="389B6952" w:rsidR="000212F0" w:rsidRPr="000212F0" w:rsidRDefault="000212F0" w:rsidP="000212F0">
      <w:pPr>
        <w:spacing w:line="276" w:lineRule="auto"/>
        <w:jc w:val="center"/>
        <w:rPr>
          <w:u w:val="single"/>
          <w:lang w:val="en-US"/>
        </w:rPr>
      </w:pPr>
      <w:r w:rsidRPr="000212F0">
        <w:rPr>
          <w:u w:val="single"/>
          <w:lang w:val="en-US"/>
        </w:rPr>
        <w:t>El Mahdi Redouane</w:t>
      </w:r>
      <w:r w:rsidRPr="000212F0">
        <w:rPr>
          <w:lang w:val="en-US"/>
        </w:rPr>
        <w:t xml:space="preserve"> </w:t>
      </w:r>
      <w:proofErr w:type="spellStart"/>
      <w:proofErr w:type="gramStart"/>
      <w:r w:rsidRPr="000212F0">
        <w:rPr>
          <w:vertAlign w:val="superscript"/>
          <w:lang w:val="en-US"/>
        </w:rPr>
        <w:t>a,b</w:t>
      </w:r>
      <w:proofErr w:type="spellEnd"/>
      <w:proofErr w:type="gramEnd"/>
      <w:r w:rsidR="00D93A27">
        <w:rPr>
          <w:vertAlign w:val="superscript"/>
          <w:lang w:val="en-US"/>
        </w:rPr>
        <w:t>,*</w:t>
      </w:r>
      <w:r w:rsidRPr="000212F0">
        <w:rPr>
          <w:lang w:val="en-US"/>
        </w:rPr>
        <w:t xml:space="preserve">, Zakaria Tazart </w:t>
      </w:r>
      <w:r w:rsidRPr="000212F0">
        <w:rPr>
          <w:vertAlign w:val="superscript"/>
          <w:lang w:val="en-US"/>
        </w:rPr>
        <w:t>a</w:t>
      </w:r>
      <w:r w:rsidRPr="000212F0">
        <w:rPr>
          <w:lang w:val="en-US"/>
        </w:rPr>
        <w:t xml:space="preserve">, Majida Lahrouni </w:t>
      </w:r>
      <w:r w:rsidRPr="000212F0">
        <w:rPr>
          <w:vertAlign w:val="superscript"/>
          <w:lang w:val="en-US"/>
        </w:rPr>
        <w:t>a</w:t>
      </w:r>
      <w:r w:rsidRPr="000212F0">
        <w:rPr>
          <w:lang w:val="en-US"/>
        </w:rPr>
        <w:t xml:space="preserve">, Richard Mugani </w:t>
      </w:r>
      <w:r w:rsidRPr="000212F0">
        <w:rPr>
          <w:vertAlign w:val="superscript"/>
          <w:lang w:val="en-US"/>
        </w:rPr>
        <w:t>a</w:t>
      </w:r>
      <w:r w:rsidRPr="000212F0">
        <w:rPr>
          <w:lang w:val="en-US"/>
        </w:rPr>
        <w:t xml:space="preserve">, Sara Elgadi </w:t>
      </w:r>
      <w:r w:rsidRPr="000212F0">
        <w:rPr>
          <w:vertAlign w:val="superscript"/>
          <w:lang w:val="en-US"/>
        </w:rPr>
        <w:t>c</w:t>
      </w:r>
      <w:r w:rsidRPr="000212F0">
        <w:rPr>
          <w:lang w:val="en-US"/>
        </w:rPr>
        <w:t xml:space="preserve">, Hamza Zine </w:t>
      </w:r>
      <w:r w:rsidR="007B1F2B">
        <w:rPr>
          <w:vertAlign w:val="superscript"/>
          <w:lang w:val="en-US"/>
        </w:rPr>
        <w:t>d</w:t>
      </w:r>
      <w:r w:rsidRPr="000212F0">
        <w:rPr>
          <w:lang w:val="en-US"/>
        </w:rPr>
        <w:t xml:space="preserve">, Mohammed Haida </w:t>
      </w:r>
      <w:r w:rsidRPr="000212F0">
        <w:rPr>
          <w:vertAlign w:val="superscript"/>
          <w:lang w:val="en-US"/>
        </w:rPr>
        <w:t>a</w:t>
      </w:r>
      <w:r w:rsidRPr="000212F0">
        <w:rPr>
          <w:lang w:val="en-US"/>
        </w:rPr>
        <w:t xml:space="preserve">, Khalid Oufdou </w:t>
      </w:r>
      <w:r w:rsidRPr="000212F0">
        <w:rPr>
          <w:vertAlign w:val="superscript"/>
          <w:lang w:val="en-US"/>
        </w:rPr>
        <w:t>c</w:t>
      </w:r>
      <w:r w:rsidRPr="000212F0">
        <w:rPr>
          <w:lang w:val="en-US"/>
        </w:rPr>
        <w:t xml:space="preserve">, Vitor Vasconcelos </w:t>
      </w:r>
      <w:proofErr w:type="spellStart"/>
      <w:r w:rsidRPr="000212F0">
        <w:rPr>
          <w:vertAlign w:val="superscript"/>
          <w:lang w:val="en-US"/>
        </w:rPr>
        <w:t>b,e</w:t>
      </w:r>
      <w:proofErr w:type="spellEnd"/>
      <w:r w:rsidR="007B1F2B">
        <w:rPr>
          <w:vertAlign w:val="superscript"/>
          <w:lang w:val="en-US"/>
        </w:rPr>
        <w:t xml:space="preserve"> </w:t>
      </w:r>
      <w:r w:rsidRPr="000212F0">
        <w:rPr>
          <w:lang w:val="en-US"/>
        </w:rPr>
        <w:t xml:space="preserve">and Brahim Oudra </w:t>
      </w:r>
      <w:r w:rsidRPr="000212F0">
        <w:rPr>
          <w:vertAlign w:val="superscript"/>
          <w:lang w:val="en-US"/>
        </w:rPr>
        <w:t xml:space="preserve">a </w:t>
      </w:r>
    </w:p>
    <w:p w14:paraId="19F3151C" w14:textId="77777777" w:rsidR="000212F0" w:rsidRPr="000212F0" w:rsidRDefault="000212F0" w:rsidP="000212F0">
      <w:pPr>
        <w:spacing w:line="360" w:lineRule="auto"/>
        <w:ind w:right="-108"/>
        <w:rPr>
          <w:i/>
          <w:sz w:val="22"/>
          <w:szCs w:val="22"/>
          <w:lang w:val="en-US"/>
        </w:rPr>
      </w:pPr>
      <w:r w:rsidRPr="000212F0">
        <w:rPr>
          <w:i/>
          <w:sz w:val="22"/>
          <w:szCs w:val="22"/>
          <w:vertAlign w:val="superscript"/>
          <w:lang w:val="en-US"/>
        </w:rPr>
        <w:t xml:space="preserve">a </w:t>
      </w:r>
      <w:r w:rsidRPr="000212F0">
        <w:rPr>
          <w:i/>
          <w:sz w:val="22"/>
          <w:szCs w:val="22"/>
          <w:lang w:val="en-US"/>
        </w:rPr>
        <w:t xml:space="preserve">Water, Biodiversity and Climate Change Laboratory. Faculty of Sciences Semlalia, Cadi Ayyad University, Marrakech 40000, Morocco. </w:t>
      </w:r>
    </w:p>
    <w:p w14:paraId="1D7D9928" w14:textId="77777777" w:rsidR="000212F0" w:rsidRPr="000212F0" w:rsidRDefault="000212F0" w:rsidP="000212F0">
      <w:pPr>
        <w:spacing w:line="360" w:lineRule="auto"/>
        <w:ind w:right="-108"/>
        <w:rPr>
          <w:i/>
          <w:sz w:val="22"/>
          <w:szCs w:val="22"/>
          <w:lang w:val="pt-PT"/>
        </w:rPr>
      </w:pPr>
      <w:r w:rsidRPr="000212F0">
        <w:rPr>
          <w:i/>
          <w:sz w:val="22"/>
          <w:szCs w:val="22"/>
          <w:vertAlign w:val="superscript"/>
          <w:lang w:val="pt-PT"/>
        </w:rPr>
        <w:t xml:space="preserve">b </w:t>
      </w:r>
      <w:r w:rsidRPr="000212F0">
        <w:rPr>
          <w:i/>
          <w:sz w:val="22"/>
          <w:szCs w:val="22"/>
          <w:lang w:val="pt-PT"/>
        </w:rPr>
        <w:t>CIIMAR, Interdisciplinary Centre of Marine and Environmental Research, Terminal de Cruzeiros do Porto de Leixões, Porto 4450-208, Portugal.</w:t>
      </w:r>
    </w:p>
    <w:p w14:paraId="76696008" w14:textId="77777777" w:rsidR="000212F0" w:rsidRPr="000212F0" w:rsidRDefault="000212F0" w:rsidP="000212F0">
      <w:pPr>
        <w:spacing w:line="360" w:lineRule="auto"/>
        <w:ind w:right="-108"/>
        <w:rPr>
          <w:i/>
          <w:sz w:val="22"/>
          <w:szCs w:val="22"/>
          <w:lang w:val="en-US"/>
        </w:rPr>
      </w:pPr>
      <w:r w:rsidRPr="000212F0">
        <w:rPr>
          <w:i/>
          <w:sz w:val="22"/>
          <w:szCs w:val="22"/>
          <w:vertAlign w:val="superscript"/>
          <w:lang w:val="en-US"/>
        </w:rPr>
        <w:t xml:space="preserve">c </w:t>
      </w:r>
      <w:r w:rsidRPr="000212F0">
        <w:rPr>
          <w:i/>
          <w:sz w:val="22"/>
          <w:szCs w:val="22"/>
          <w:lang w:val="en-US"/>
        </w:rPr>
        <w:t>Laboratory of Microbial Biotechnologies, Agrosciences, and Environment (BioMAgE), Labeled Research Unit-CNRST N°4, Faculty of Sciences Semlalia, Cadi Ayyad University, Marrakech 40000, Morocco.</w:t>
      </w:r>
    </w:p>
    <w:p w14:paraId="4395FE34" w14:textId="248FD047" w:rsidR="000212F0" w:rsidRPr="000212F0" w:rsidRDefault="000212F0" w:rsidP="000212F0">
      <w:pPr>
        <w:spacing w:line="360" w:lineRule="auto"/>
        <w:ind w:right="-108"/>
        <w:rPr>
          <w:i/>
          <w:sz w:val="22"/>
          <w:szCs w:val="22"/>
          <w:lang w:val="en-US"/>
        </w:rPr>
      </w:pPr>
      <w:r w:rsidRPr="000212F0">
        <w:rPr>
          <w:i/>
          <w:sz w:val="22"/>
          <w:szCs w:val="22"/>
          <w:vertAlign w:val="superscript"/>
          <w:lang w:val="en-US"/>
        </w:rPr>
        <w:t xml:space="preserve">d </w:t>
      </w:r>
      <w:r w:rsidR="007B1F2B" w:rsidRPr="007B1F2B">
        <w:rPr>
          <w:i/>
          <w:sz w:val="22"/>
          <w:szCs w:val="22"/>
          <w:lang w:val="en-US"/>
        </w:rPr>
        <w:t>Geology</w:t>
      </w:r>
      <w:r w:rsidR="007B1F2B">
        <w:rPr>
          <w:i/>
          <w:sz w:val="22"/>
          <w:szCs w:val="22"/>
          <w:lang w:val="en-US"/>
        </w:rPr>
        <w:t xml:space="preserve"> and Sustainable Mining Institute (GSMI), Mohammad VI Polytechnic University, Ben Guerir 43150, Morocco.</w:t>
      </w:r>
    </w:p>
    <w:p w14:paraId="6C45EEEC" w14:textId="3D243872" w:rsidR="000212F0" w:rsidRDefault="000212F0" w:rsidP="000212F0">
      <w:pPr>
        <w:spacing w:line="360" w:lineRule="auto"/>
        <w:ind w:right="-108"/>
        <w:rPr>
          <w:i/>
          <w:sz w:val="22"/>
          <w:szCs w:val="22"/>
          <w:lang w:val="en-US" w:bidi="en-US"/>
        </w:rPr>
      </w:pPr>
      <w:r w:rsidRPr="000212F0">
        <w:rPr>
          <w:i/>
          <w:sz w:val="22"/>
          <w:szCs w:val="22"/>
          <w:vertAlign w:val="superscript"/>
          <w:lang w:val="en-US"/>
        </w:rPr>
        <w:t xml:space="preserve">e </w:t>
      </w:r>
      <w:r w:rsidRPr="000212F0">
        <w:rPr>
          <w:i/>
          <w:sz w:val="22"/>
          <w:szCs w:val="22"/>
          <w:lang w:val="en-US"/>
        </w:rPr>
        <w:t xml:space="preserve">Department of Biology, Faculty of Sciences, University of Porto, </w:t>
      </w:r>
      <w:r w:rsidRPr="000212F0">
        <w:rPr>
          <w:i/>
          <w:sz w:val="22"/>
          <w:szCs w:val="22"/>
          <w:lang w:val="en-US" w:bidi="en-US"/>
        </w:rPr>
        <w:t>Porto 4169</w:t>
      </w:r>
      <w:r w:rsidRPr="000212F0">
        <w:rPr>
          <w:i/>
          <w:sz w:val="22"/>
          <w:szCs w:val="22"/>
          <w:cs/>
          <w:lang w:val="en-US" w:bidi="th-TH"/>
        </w:rPr>
        <w:t>-</w:t>
      </w:r>
      <w:r w:rsidRPr="000212F0">
        <w:rPr>
          <w:i/>
          <w:sz w:val="22"/>
          <w:szCs w:val="22"/>
          <w:lang w:val="en-US" w:bidi="en-US"/>
        </w:rPr>
        <w:t>007, Portugal.</w:t>
      </w:r>
    </w:p>
    <w:p w14:paraId="31963619" w14:textId="31F1C1FC" w:rsidR="00D93A27" w:rsidRPr="00D93A27" w:rsidRDefault="00D93A27" w:rsidP="00D93A27">
      <w:pPr>
        <w:spacing w:line="360" w:lineRule="auto"/>
        <w:ind w:right="-108"/>
        <w:rPr>
          <w:i/>
          <w:sz w:val="22"/>
          <w:szCs w:val="22"/>
          <w:lang w:val="en-US" w:bidi="en-US"/>
        </w:rPr>
      </w:pPr>
      <w:r w:rsidRPr="00D93A27">
        <w:rPr>
          <w:i/>
          <w:sz w:val="22"/>
          <w:szCs w:val="22"/>
          <w:vertAlign w:val="superscript"/>
          <w:lang w:val="en-US" w:bidi="en-US"/>
        </w:rPr>
        <w:t>*</w:t>
      </w:r>
      <w:r>
        <w:rPr>
          <w:i/>
          <w:sz w:val="22"/>
          <w:szCs w:val="22"/>
          <w:lang w:val="en-US" w:bidi="en-US"/>
        </w:rPr>
        <w:t>Co</w:t>
      </w:r>
      <w:r w:rsidRPr="00D93A27">
        <w:rPr>
          <w:i/>
          <w:sz w:val="22"/>
          <w:szCs w:val="22"/>
          <w:lang w:val="en-US" w:bidi="en-US"/>
        </w:rPr>
        <w:t>rresponding author: redouane.elmahdii@gmail.com</w:t>
      </w:r>
    </w:p>
    <w:p w14:paraId="73B931BD" w14:textId="0E8FF12C" w:rsidR="008238B7" w:rsidRPr="000212F0" w:rsidRDefault="008238B7" w:rsidP="000212F0">
      <w:pPr>
        <w:spacing w:line="360" w:lineRule="auto"/>
        <w:ind w:right="-108"/>
        <w:rPr>
          <w:rFonts w:ascii="Garamond" w:hAnsi="Garamond"/>
          <w:b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ab/>
      </w:r>
    </w:p>
    <w:p w14:paraId="73B931BE" w14:textId="38BC1E92" w:rsidR="008238B7" w:rsidRPr="0095511E" w:rsidRDefault="000212F0" w:rsidP="008238B7">
      <w:pPr>
        <w:ind w:right="-108"/>
        <w:jc w:val="center"/>
        <w:rPr>
          <w:rFonts w:ascii="Century" w:hAnsi="Century"/>
          <w:iCs/>
          <w:color w:val="0000FF"/>
          <w:lang w:val="en-US"/>
        </w:rPr>
      </w:pPr>
      <w:r>
        <w:rPr>
          <w:iCs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212F0">
        <w:rPr>
          <w:iCs/>
          <w:szCs w:val="32"/>
          <w:lang w:val="en-US"/>
        </w:rPr>
        <w:instrText xml:space="preserve"> FORMCHECKBOX </w:instrText>
      </w:r>
      <w:r w:rsidR="00E5285F">
        <w:rPr>
          <w:iCs/>
          <w:szCs w:val="32"/>
        </w:rPr>
      </w:r>
      <w:r w:rsidR="00E5285F">
        <w:rPr>
          <w:iCs/>
          <w:szCs w:val="32"/>
        </w:rPr>
        <w:fldChar w:fldCharType="separate"/>
      </w:r>
      <w:r>
        <w:rPr>
          <w:iCs/>
          <w:szCs w:val="32"/>
        </w:rPr>
        <w:fldChar w:fldCharType="end"/>
      </w:r>
      <w:r w:rsidR="008238B7" w:rsidRPr="0095511E">
        <w:rPr>
          <w:rFonts w:ascii="Century" w:hAnsi="Century"/>
          <w:iCs/>
          <w:sz w:val="20"/>
          <w:szCs w:val="32"/>
          <w:lang w:val="en-US"/>
        </w:rPr>
        <w:t xml:space="preserve">  </w:t>
      </w:r>
      <w:r w:rsidR="0095511E">
        <w:rPr>
          <w:rFonts w:ascii="Century" w:hAnsi="Century"/>
          <w:iCs/>
          <w:color w:val="0000FF"/>
          <w:lang w:val="en-US"/>
        </w:rPr>
        <w:t>O</w:t>
      </w:r>
      <w:r w:rsidR="008238B7" w:rsidRPr="0095511E">
        <w:rPr>
          <w:rFonts w:ascii="Century" w:hAnsi="Century"/>
          <w:iCs/>
          <w:color w:val="0000FF"/>
          <w:lang w:val="en-US"/>
        </w:rPr>
        <w:t xml:space="preserve">ral presentation </w:t>
      </w:r>
      <w:r w:rsidR="008238B7" w:rsidRPr="0095511E">
        <w:rPr>
          <w:rFonts w:ascii="Century" w:hAnsi="Century"/>
          <w:iCs/>
          <w:color w:val="0000FF"/>
          <w:lang w:val="en-US"/>
        </w:rPr>
        <w:tab/>
      </w:r>
      <w:r w:rsidR="008238B7" w:rsidRPr="0095511E">
        <w:rPr>
          <w:rFonts w:ascii="Century" w:hAnsi="Century"/>
          <w:iCs/>
          <w:color w:val="0000FF"/>
          <w:lang w:val="en-US"/>
        </w:rPr>
        <w:tab/>
      </w:r>
      <w:r w:rsidR="008238B7" w:rsidRPr="0095511E">
        <w:rPr>
          <w:iCs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238B7" w:rsidRPr="0095511E">
        <w:rPr>
          <w:iCs/>
          <w:szCs w:val="32"/>
          <w:lang w:val="en-US"/>
        </w:rPr>
        <w:instrText xml:space="preserve"> FORMCHECKBOX </w:instrText>
      </w:r>
      <w:r w:rsidR="00E5285F">
        <w:rPr>
          <w:iCs/>
          <w:szCs w:val="32"/>
        </w:rPr>
      </w:r>
      <w:r w:rsidR="00E5285F">
        <w:rPr>
          <w:iCs/>
          <w:szCs w:val="32"/>
        </w:rPr>
        <w:fldChar w:fldCharType="separate"/>
      </w:r>
      <w:r w:rsidR="008238B7" w:rsidRPr="0095511E">
        <w:rPr>
          <w:iCs/>
          <w:szCs w:val="32"/>
        </w:rPr>
        <w:fldChar w:fldCharType="end"/>
      </w:r>
      <w:r w:rsidR="008238B7" w:rsidRPr="0095511E">
        <w:rPr>
          <w:rFonts w:ascii="Century" w:hAnsi="Century"/>
          <w:iCs/>
          <w:sz w:val="20"/>
          <w:szCs w:val="32"/>
          <w:lang w:val="en-US"/>
        </w:rPr>
        <w:t xml:space="preserve">  </w:t>
      </w:r>
      <w:r w:rsidR="0095511E">
        <w:rPr>
          <w:rFonts w:ascii="Century" w:hAnsi="Century"/>
          <w:iCs/>
          <w:color w:val="0000FF"/>
          <w:lang w:val="en-US"/>
        </w:rPr>
        <w:t>P</w:t>
      </w:r>
      <w:r w:rsidR="008238B7" w:rsidRPr="0095511E">
        <w:rPr>
          <w:rFonts w:ascii="Century" w:hAnsi="Century"/>
          <w:iCs/>
          <w:color w:val="0000FF"/>
          <w:lang w:val="en-US"/>
        </w:rPr>
        <w:t>oster</w:t>
      </w:r>
    </w:p>
    <w:p w14:paraId="73B931BF" w14:textId="77777777" w:rsidR="008238B7" w:rsidRPr="007F09E8" w:rsidRDefault="008238B7" w:rsidP="008238B7">
      <w:pPr>
        <w:jc w:val="both"/>
        <w:rPr>
          <w:lang w:val="en-US"/>
        </w:rPr>
      </w:pPr>
    </w:p>
    <w:p w14:paraId="73B931C5" w14:textId="55FC90A6" w:rsidR="008238B7" w:rsidRPr="00A83283" w:rsidRDefault="00BC635A" w:rsidP="000212F0">
      <w:pPr>
        <w:spacing w:after="100" w:afterAutospacing="1" w:line="276" w:lineRule="auto"/>
        <w:jc w:val="both"/>
        <w:rPr>
          <w:lang w:val="en-US"/>
        </w:rPr>
      </w:pPr>
      <w:r>
        <w:rPr>
          <w:lang w:val="en-US"/>
        </w:rPr>
        <w:t>Health risk</w:t>
      </w:r>
      <w:r w:rsidR="005026DC">
        <w:rPr>
          <w:lang w:val="en-US"/>
        </w:rPr>
        <w:t>s</w:t>
      </w:r>
      <w:r>
        <w:rPr>
          <w:lang w:val="en-US"/>
        </w:rPr>
        <w:t xml:space="preserve"> </w:t>
      </w:r>
      <w:r w:rsidR="005026DC">
        <w:rPr>
          <w:lang w:val="en-US"/>
        </w:rPr>
        <w:t>associated with</w:t>
      </w:r>
      <w:r>
        <w:rPr>
          <w:lang w:val="en-US"/>
        </w:rPr>
        <w:t xml:space="preserve"> </w:t>
      </w:r>
      <w:r w:rsidR="00A83283">
        <w:rPr>
          <w:lang w:val="en-US"/>
        </w:rPr>
        <w:t xml:space="preserve">the </w:t>
      </w:r>
      <w:r>
        <w:rPr>
          <w:lang w:val="en-US"/>
        </w:rPr>
        <w:t>consumption of microcystin-containing agricultural produc</w:t>
      </w:r>
      <w:r w:rsidR="005026DC">
        <w:rPr>
          <w:lang w:val="en-US"/>
        </w:rPr>
        <w:t>ts</w:t>
      </w:r>
      <w:r>
        <w:rPr>
          <w:lang w:val="en-US"/>
        </w:rPr>
        <w:t xml:space="preserve"> ha</w:t>
      </w:r>
      <w:r w:rsidR="005026DC">
        <w:rPr>
          <w:lang w:val="en-US"/>
        </w:rPr>
        <w:t>ve</w:t>
      </w:r>
      <w:r>
        <w:rPr>
          <w:lang w:val="en-US"/>
        </w:rPr>
        <w:t xml:space="preserve"> been rising worldwide in toxic cyanobacteria-occurring waters</w:t>
      </w:r>
      <w:r w:rsidR="008238B7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 xml:space="preserve">Fate and biohazard related to the consumption of environmentally realistic doses of microcystins (MCs) in fruits and vegetables are poorly tackled. Therefore, this field study assessed their bioaccumulation in </w:t>
      </w:r>
      <w:r w:rsidR="0064192B">
        <w:rPr>
          <w:color w:val="000000"/>
          <w:lang w:val="en-US"/>
        </w:rPr>
        <w:t>fruit crops</w:t>
      </w:r>
      <w:r>
        <w:rPr>
          <w:color w:val="000000"/>
          <w:lang w:val="en-US"/>
        </w:rPr>
        <w:t xml:space="preserve">, </w:t>
      </w:r>
      <w:r w:rsidR="00A83283">
        <w:rPr>
          <w:color w:val="000000"/>
          <w:lang w:val="en-US"/>
        </w:rPr>
        <w:t>which were</w:t>
      </w:r>
      <w:r>
        <w:rPr>
          <w:color w:val="000000"/>
          <w:lang w:val="en-US"/>
        </w:rPr>
        <w:t xml:space="preserve"> irrigated with MC-</w:t>
      </w:r>
      <w:r w:rsidR="00ED154D">
        <w:rPr>
          <w:color w:val="000000"/>
          <w:lang w:val="en-US"/>
        </w:rPr>
        <w:t>contaminated</w:t>
      </w:r>
      <w:r>
        <w:rPr>
          <w:color w:val="000000"/>
          <w:lang w:val="en-US"/>
        </w:rPr>
        <w:t xml:space="preserve"> </w:t>
      </w:r>
      <w:r w:rsidR="004B0076">
        <w:rPr>
          <w:color w:val="000000"/>
          <w:lang w:val="en-US"/>
        </w:rPr>
        <w:t xml:space="preserve">irrigation </w:t>
      </w:r>
      <w:r>
        <w:rPr>
          <w:color w:val="000000"/>
          <w:lang w:val="en-US"/>
        </w:rPr>
        <w:t xml:space="preserve">water sourced from the Lalla Takerkoust reservoir nearby. MCs accumulated in </w:t>
      </w:r>
      <w:r w:rsidR="004B0076">
        <w:rPr>
          <w:color w:val="000000"/>
          <w:lang w:val="en-US"/>
        </w:rPr>
        <w:t xml:space="preserve">edible parts were quantified using an enzyme-linked immunosorbent assay in order to calculate the health risk indicators associated </w:t>
      </w:r>
      <w:r w:rsidR="00A83283">
        <w:rPr>
          <w:color w:val="000000"/>
          <w:lang w:val="en-US"/>
        </w:rPr>
        <w:t>with</w:t>
      </w:r>
      <w:r w:rsidR="004B0076">
        <w:rPr>
          <w:color w:val="000000"/>
          <w:lang w:val="en-US"/>
        </w:rPr>
        <w:t xml:space="preserve"> the consumption of these fruits. Pomegranate accumulated the highest concentration of MCs (26.50 µg kg</w:t>
      </w:r>
      <w:r w:rsidR="004B0076" w:rsidRPr="00B91943">
        <w:rPr>
          <w:color w:val="000000"/>
          <w:vertAlign w:val="superscript"/>
          <w:lang w:val="en-US"/>
        </w:rPr>
        <w:t>-1</w:t>
      </w:r>
      <w:r w:rsidR="004B0076">
        <w:rPr>
          <w:color w:val="000000"/>
          <w:lang w:val="en-US"/>
        </w:rPr>
        <w:t>),</w:t>
      </w:r>
      <w:r w:rsidR="00B91943">
        <w:rPr>
          <w:color w:val="000000"/>
          <w:lang w:val="en-US"/>
        </w:rPr>
        <w:t xml:space="preserve"> with an estimated daily intake</w:t>
      </w:r>
      <w:r w:rsidR="00ED154D">
        <w:rPr>
          <w:color w:val="000000"/>
          <w:lang w:val="en-US"/>
        </w:rPr>
        <w:t xml:space="preserve"> (EDI)</w:t>
      </w:r>
      <w:r w:rsidR="004B0076">
        <w:rPr>
          <w:color w:val="000000"/>
          <w:lang w:val="en-US"/>
        </w:rPr>
        <w:t xml:space="preserve"> </w:t>
      </w:r>
      <w:r w:rsidR="00A83283">
        <w:rPr>
          <w:color w:val="000000"/>
          <w:lang w:val="en-US"/>
        </w:rPr>
        <w:t xml:space="preserve">being </w:t>
      </w:r>
      <w:r w:rsidR="004B0076">
        <w:rPr>
          <w:color w:val="000000"/>
          <w:lang w:val="en-US"/>
        </w:rPr>
        <w:t>22 and 53-fold higher than the limit dose (0.04</w:t>
      </w:r>
      <w:r w:rsidR="00B91943">
        <w:rPr>
          <w:color w:val="000000"/>
          <w:lang w:val="en-US"/>
        </w:rPr>
        <w:t xml:space="preserve"> µg kg</w:t>
      </w:r>
      <w:r w:rsidR="00B91943" w:rsidRPr="00B91943">
        <w:rPr>
          <w:color w:val="000000"/>
          <w:vertAlign w:val="superscript"/>
          <w:lang w:val="en-US"/>
        </w:rPr>
        <w:t>-1</w:t>
      </w:r>
      <w:r w:rsidR="004B0076">
        <w:rPr>
          <w:color w:val="000000"/>
          <w:lang w:val="en-US"/>
        </w:rPr>
        <w:t>)</w:t>
      </w:r>
      <w:r w:rsidR="00B91943">
        <w:rPr>
          <w:color w:val="000000"/>
          <w:lang w:val="en-US"/>
        </w:rPr>
        <w:t xml:space="preserve"> for adults and children, respectively, posing a very high-risk level. Most fruit samples showed EDI values above the limit dose, showing moderate</w:t>
      </w:r>
      <w:r w:rsidR="00ED154D">
        <w:rPr>
          <w:color w:val="000000"/>
          <w:lang w:val="en-US"/>
        </w:rPr>
        <w:t>-</w:t>
      </w:r>
      <w:r w:rsidR="00B91943">
        <w:rPr>
          <w:color w:val="000000"/>
          <w:lang w:val="en-US"/>
        </w:rPr>
        <w:t xml:space="preserve"> to high</w:t>
      </w:r>
      <w:r w:rsidR="00ED154D">
        <w:rPr>
          <w:color w:val="000000"/>
          <w:lang w:val="en-US"/>
        </w:rPr>
        <w:t>-</w:t>
      </w:r>
      <w:r w:rsidR="00B91943">
        <w:rPr>
          <w:color w:val="000000"/>
          <w:lang w:val="en-US"/>
        </w:rPr>
        <w:t xml:space="preserve">risk levels. These results point out the urgent need for establishing monitoring and depolluting processes </w:t>
      </w:r>
      <w:r w:rsidR="00A83283">
        <w:rPr>
          <w:color w:val="000000"/>
          <w:lang w:val="en-US"/>
        </w:rPr>
        <w:t>for</w:t>
      </w:r>
      <w:r w:rsidR="00B91943">
        <w:rPr>
          <w:color w:val="000000"/>
          <w:lang w:val="en-US"/>
        </w:rPr>
        <w:t xml:space="preserve"> MCs in toxic cyanobacteria-</w:t>
      </w:r>
      <w:r w:rsidR="00A83283">
        <w:rPr>
          <w:color w:val="000000"/>
          <w:lang w:val="en-US"/>
        </w:rPr>
        <w:t>infested agricultural zones</w:t>
      </w:r>
      <w:r w:rsidR="00ED154D">
        <w:rPr>
          <w:color w:val="000000"/>
          <w:lang w:val="en-US"/>
        </w:rPr>
        <w:t>, not only</w:t>
      </w:r>
      <w:r w:rsidR="00A83283">
        <w:rPr>
          <w:color w:val="000000"/>
          <w:lang w:val="en-US"/>
        </w:rPr>
        <w:t xml:space="preserve"> </w:t>
      </w:r>
      <w:r w:rsidR="00ED154D">
        <w:rPr>
          <w:color w:val="000000"/>
          <w:lang w:val="en-US"/>
        </w:rPr>
        <w:t>in Morocco but far and wide</w:t>
      </w:r>
      <w:r w:rsidR="00A83283">
        <w:rPr>
          <w:color w:val="000000"/>
          <w:lang w:val="en-US"/>
        </w:rPr>
        <w:t xml:space="preserve">. </w:t>
      </w:r>
    </w:p>
    <w:p w14:paraId="73B931C6" w14:textId="4F41132F" w:rsidR="008238B7" w:rsidRDefault="008238B7" w:rsidP="008238B7">
      <w:pPr>
        <w:jc w:val="both"/>
        <w:rPr>
          <w:lang w:val="en-US"/>
        </w:rPr>
      </w:pPr>
      <w:r w:rsidRPr="00CD4533">
        <w:rPr>
          <w:b/>
          <w:lang w:val="en-US"/>
        </w:rPr>
        <w:t>Keywords</w:t>
      </w:r>
      <w:r>
        <w:rPr>
          <w:lang w:val="en-US"/>
        </w:rPr>
        <w:t xml:space="preserve">: </w:t>
      </w:r>
      <w:r w:rsidR="00A83283">
        <w:rPr>
          <w:lang w:val="en-US"/>
        </w:rPr>
        <w:t xml:space="preserve">Microcystins, </w:t>
      </w:r>
      <w:r w:rsidR="0064192B">
        <w:rPr>
          <w:lang w:val="en-US"/>
        </w:rPr>
        <w:t>Fruit</w:t>
      </w:r>
      <w:r w:rsidR="00A83283">
        <w:rPr>
          <w:lang w:val="en-US"/>
        </w:rPr>
        <w:t xml:space="preserve"> </w:t>
      </w:r>
      <w:r w:rsidR="0064192B">
        <w:rPr>
          <w:lang w:val="en-US"/>
        </w:rPr>
        <w:t>crops,</w:t>
      </w:r>
      <w:r w:rsidR="00A83283">
        <w:rPr>
          <w:lang w:val="en-US"/>
        </w:rPr>
        <w:t xml:space="preserve"> Bioaccumulation, Health risk</w:t>
      </w:r>
    </w:p>
    <w:p w14:paraId="73B931C7" w14:textId="77777777" w:rsidR="00E7086F" w:rsidRPr="008238B7" w:rsidRDefault="00E7086F">
      <w:pPr>
        <w:rPr>
          <w:lang w:val="en-US"/>
        </w:rPr>
      </w:pPr>
    </w:p>
    <w:sectPr w:rsidR="00E7086F" w:rsidRPr="00823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E4D83"/>
    <w:multiLevelType w:val="hybridMultilevel"/>
    <w:tmpl w:val="F4667A56"/>
    <w:lvl w:ilvl="0" w:tplc="3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86C19"/>
    <w:multiLevelType w:val="hybridMultilevel"/>
    <w:tmpl w:val="6FCA0086"/>
    <w:lvl w:ilvl="0" w:tplc="3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868753">
    <w:abstractNumId w:val="0"/>
  </w:num>
  <w:num w:numId="2" w16cid:durableId="1240553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B7"/>
    <w:rsid w:val="000212F0"/>
    <w:rsid w:val="00123A03"/>
    <w:rsid w:val="001B51F6"/>
    <w:rsid w:val="00464E0D"/>
    <w:rsid w:val="004718D5"/>
    <w:rsid w:val="004B0076"/>
    <w:rsid w:val="005026DC"/>
    <w:rsid w:val="005739CE"/>
    <w:rsid w:val="00582D9E"/>
    <w:rsid w:val="00602179"/>
    <w:rsid w:val="0064192B"/>
    <w:rsid w:val="006968C0"/>
    <w:rsid w:val="00756A34"/>
    <w:rsid w:val="007B0C8B"/>
    <w:rsid w:val="007B1F2B"/>
    <w:rsid w:val="008238B7"/>
    <w:rsid w:val="0095511E"/>
    <w:rsid w:val="00A521F7"/>
    <w:rsid w:val="00A83283"/>
    <w:rsid w:val="00B64DD1"/>
    <w:rsid w:val="00B91943"/>
    <w:rsid w:val="00BC635A"/>
    <w:rsid w:val="00C27CD6"/>
    <w:rsid w:val="00D93A27"/>
    <w:rsid w:val="00E5285F"/>
    <w:rsid w:val="00E7086F"/>
    <w:rsid w:val="00ED154D"/>
    <w:rsid w:val="00F5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31B8"/>
  <w15:chartTrackingRefBased/>
  <w15:docId w15:val="{576430F9-D23A-4311-8038-A72B39B6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511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11E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owc-abstract">
    <w:name w:val="owc-abstract"/>
    <w:basedOn w:val="Normal"/>
    <w:rsid w:val="00602179"/>
    <w:pPr>
      <w:spacing w:before="60" w:after="120"/>
      <w:jc w:val="both"/>
      <w:outlineLvl w:val="0"/>
    </w:pPr>
    <w:rPr>
      <w:rFonts w:ascii="Arial" w:hAnsi="Arial"/>
      <w:i/>
      <w:sz w:val="16"/>
      <w:lang w:val="en-GB" w:eastAsia="de-DE"/>
    </w:rPr>
  </w:style>
  <w:style w:type="character" w:styleId="Lienhypertexte">
    <w:name w:val="Hyperlink"/>
    <w:basedOn w:val="Policepardfaut"/>
    <w:uiPriority w:val="99"/>
    <w:semiHidden/>
    <w:unhideWhenUsed/>
    <w:rsid w:val="006968C0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212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12F0"/>
    <w:pPr>
      <w:spacing w:after="160"/>
    </w:pPr>
    <w:rPr>
      <w:rFonts w:asciiTheme="minorHAnsi" w:eastAsiaTheme="minorHAnsi" w:hAnsiTheme="minorHAnsi" w:cstheme="minorBidi"/>
      <w:sz w:val="20"/>
      <w:szCs w:val="20"/>
      <w:lang w:val="fr-MA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12F0"/>
    <w:rPr>
      <w:sz w:val="20"/>
      <w:szCs w:val="20"/>
      <w:lang w:val="fr-MA"/>
    </w:rPr>
  </w:style>
  <w:style w:type="paragraph" w:styleId="Paragraphedeliste">
    <w:name w:val="List Paragraph"/>
    <w:basedOn w:val="Normal"/>
    <w:uiPriority w:val="34"/>
    <w:qFormat/>
    <w:rsid w:val="00D93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68BE5-BED2-40E4-8A67-86AA2337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El Mahdi REDOUANE</cp:lastModifiedBy>
  <cp:revision>11</cp:revision>
  <dcterms:created xsi:type="dcterms:W3CDTF">2022-04-09T23:21:00Z</dcterms:created>
  <dcterms:modified xsi:type="dcterms:W3CDTF">2023-09-05T20:39:00Z</dcterms:modified>
</cp:coreProperties>
</file>